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 НП-2.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НП-2 (17 мая).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рубежом(70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74" w:dyaOrig="829">
          <v:rect xmlns:o="urn:schemas-microsoft-com:office:office" xmlns:v="urn:schemas-microsoft-com:vml" id="rectole0000000000" style="width:143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6074" w:dyaOrig="4940">
          <v:rect xmlns:o="urn:schemas-microsoft-com:office:office" xmlns:v="urn:schemas-microsoft-com:vml" id="rectole0000000001" style="width:303.700000pt;height:247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320" w:dyaOrig="1315">
          <v:rect xmlns:o="urn:schemas-microsoft-com:office:office" xmlns:v="urn:schemas-microsoft-com:vml" id="rectole0000000002" style="width:166.000000pt;height:6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00" w:dyaOrig="1336">
          <v:rect xmlns:o="urn:schemas-microsoft-com:office:office" xmlns:v="urn:schemas-microsoft-com:vml" id="rectole0000000003" style="width:165.000000pt;height:66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178" w:dyaOrig="1275">
          <v:rect xmlns:o="urn:schemas-microsoft-com:office:office" xmlns:v="urn:schemas-microsoft-com:vml" id="rectole0000000004" style="width:158.900000pt;height:63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219" w:dyaOrig="1275">
          <v:rect xmlns:o="urn:schemas-microsoft-com:office:office" xmlns:v="urn:schemas-microsoft-com:vml" id="rectole0000000005" style="width:160.950000pt;height:63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381" w:dyaOrig="1356">
          <v:rect xmlns:o="urn:schemas-microsoft-com:office:office" xmlns:v="urn:schemas-microsoft-com:vml" id="rectole0000000006" style="width:169.050000pt;height:67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13" w:dyaOrig="1315">
          <v:rect xmlns:o="urn:schemas-microsoft-com:office:office" xmlns:v="urn:schemas-microsoft-com:vml" id="rectole0000000007" style="width:135.650000pt;height:65.7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753" w:dyaOrig="1559">
          <v:rect xmlns:o="urn:schemas-microsoft-com:office:office" xmlns:v="urn:schemas-microsoft-com:vml" id="rectole0000000008" style="width:137.650000pt;height:77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3968" w:dyaOrig="1579">
          <v:rect xmlns:o="urn:schemas-microsoft-com:office:office" xmlns:v="urn:schemas-microsoft-com:vml" id="rectole0000000009" style="width:198.400000pt;height:78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320" w:dyaOrig="1336">
          <v:rect xmlns:o="urn:schemas-microsoft-com:office:office" xmlns:v="urn:schemas-microsoft-com:vml" id="rectole0000000010" style="width:166.000000pt;height:66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49" w:dyaOrig="1619">
          <v:rect xmlns:o="urn:schemas-microsoft-com:office:office" xmlns:v="urn:schemas-microsoft-com:vml" id="rectole0000000011" style="width:122.450000pt;height:80.9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725" w:dyaOrig="1477">
          <v:rect xmlns:o="urn:schemas-microsoft-com:office:office" xmlns:v="urn:schemas-microsoft-com:vml" id="rectole0000000012" style="width:186.250000pt;height:73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685" w:dyaOrig="1457">
          <v:rect xmlns:o="urn:schemas-microsoft-com:office:office" xmlns:v="urn:schemas-microsoft-com:vml" id="rectole0000000013" style="width:184.250000pt;height:72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18" w:dyaOrig="1437">
          <v:rect xmlns:o="urn:schemas-microsoft-com:office:office" xmlns:v="urn:schemas-microsoft-com:vml" id="rectole0000000014" style="width:155.900000pt;height:71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522" w:dyaOrig="1396">
          <v:rect xmlns:o="urn:schemas-microsoft-com:office:office" xmlns:v="urn:schemas-microsoft-com:vml" id="rectole0000000015" style="width:176.100000pt;height:69.8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17" w:dyaOrig="2146">
          <v:rect xmlns:o="urn:schemas-microsoft-com:office:office" xmlns:v="urn:schemas-microsoft-com:vml" id="rectole0000000016" style="width:70.850000pt;height:107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085" w:dyaOrig="3441">
          <v:rect xmlns:o="urn:schemas-microsoft-com:office:office" xmlns:v="urn:schemas-microsoft-com:vml" id="rectole0000000017" style="width:104.250000pt;height:172.0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05" w:dyaOrig="3441">
          <v:rect xmlns:o="urn:schemas-microsoft-com:office:office" xmlns:v="urn:schemas-microsoft-com:vml" id="rectole0000000018" style="width:105.250000pt;height:172.0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483" w:dyaOrig="5608">
          <v:rect xmlns:o="urn:schemas-microsoft-com:office:office" xmlns:v="urn:schemas-microsoft-com:vml" id="rectole0000000019" style="width:424.150000pt;height:280.4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010" w:dyaOrig="6114">
          <v:rect xmlns:o="urn:schemas-microsoft-com:office:office" xmlns:v="urn:schemas-microsoft-com:vml" id="rectole0000000020" style="width:450.500000pt;height:305.7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499" w:dyaOrig="3259">
          <v:rect xmlns:o="urn:schemas-microsoft-com:office:office" xmlns:v="urn:schemas-microsoft-com:vml" id="rectole0000000021" style="width:324.950000pt;height:162.9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281" w:dyaOrig="3178">
          <v:rect xmlns:o="urn:schemas-microsoft-com:office:office" xmlns:v="urn:schemas-microsoft-com:vml" id="rectole0000000022" style="width:414.050000pt;height:158.9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455" w:dyaOrig="5223">
          <v:rect xmlns:o="urn:schemas-microsoft-com:office:office" xmlns:v="urn:schemas-microsoft-com:vml" id="rectole0000000023" style="width:472.750000pt;height:261.1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989" w:dyaOrig="5081">
          <v:rect xmlns:o="urn:schemas-microsoft-com:office:office" xmlns:v="urn:schemas-microsoft-com:vml" id="rectole0000000024" style="width:449.450000pt;height:254.0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790" w:dyaOrig="5223">
          <v:rect xmlns:o="urn:schemas-microsoft-com:office:office" xmlns:v="urn:schemas-microsoft-com:vml" id="rectole0000000025" style="width:289.500000pt;height:261.1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styles.xml" Id="docRId53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numbering.xml" Id="docRId52" Type="http://schemas.openxmlformats.org/officeDocument/2006/relationships/numbering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/Relationships>
</file>